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8A" w:rsidRDefault="00523A8A" w:rsidP="00523A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523A8A" w:rsidRPr="00523A8A" w:rsidRDefault="00523A8A" w:rsidP="00523A8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523A8A">
        <w:rPr>
          <w:rFonts w:ascii="Calibri" w:hAnsi="Calibri" w:cs="Calibri"/>
          <w:b/>
          <w:bCs/>
          <w:sz w:val="24"/>
          <w:szCs w:val="24"/>
          <w:u w:val="single"/>
        </w:rPr>
        <w:t>Федеральный закон от 28.12.2013 N 400-ФЗ</w:t>
      </w:r>
    </w:p>
    <w:p w:rsidR="00523A8A" w:rsidRPr="00523A8A" w:rsidRDefault="00523A8A" w:rsidP="00523A8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523A8A">
        <w:rPr>
          <w:rFonts w:ascii="Calibri" w:hAnsi="Calibri" w:cs="Calibri"/>
          <w:b/>
          <w:bCs/>
          <w:sz w:val="24"/>
          <w:szCs w:val="24"/>
          <w:u w:val="single"/>
        </w:rPr>
        <w:t>(ред. от 01.10.2019, с изм. от 22.04.2020)</w:t>
      </w:r>
    </w:p>
    <w:p w:rsidR="00523A8A" w:rsidRPr="00523A8A" w:rsidRDefault="00523A8A" w:rsidP="00523A8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523A8A">
        <w:rPr>
          <w:rFonts w:ascii="Calibri" w:hAnsi="Calibri" w:cs="Calibri"/>
          <w:b/>
          <w:bCs/>
          <w:sz w:val="24"/>
          <w:szCs w:val="24"/>
          <w:u w:val="single"/>
        </w:rPr>
        <w:t>"О страховых пенсиях"</w:t>
      </w:r>
    </w:p>
    <w:p w:rsidR="00523A8A" w:rsidRDefault="00523A8A" w:rsidP="00523A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523A8A" w:rsidRDefault="00523A8A" w:rsidP="00523A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Статья 25. </w:t>
      </w:r>
      <w:bookmarkStart w:id="0" w:name="_GoBack"/>
      <w:r>
        <w:rPr>
          <w:rFonts w:ascii="Calibri" w:hAnsi="Calibri" w:cs="Calibri"/>
          <w:b/>
          <w:bCs/>
        </w:rPr>
        <w:t>Прекращение и восстановление выплаты страховой пенсии</w:t>
      </w:r>
      <w:bookmarkEnd w:id="0"/>
    </w:p>
    <w:p w:rsidR="00523A8A" w:rsidRDefault="00523A8A" w:rsidP="00523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3A8A" w:rsidRDefault="00523A8A" w:rsidP="00523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"/>
      <w:bookmarkEnd w:id="1"/>
      <w:r>
        <w:rPr>
          <w:rFonts w:ascii="Calibri" w:hAnsi="Calibri" w:cs="Calibri"/>
        </w:rPr>
        <w:t>1. Прекращение выплаты страховой пенсии производится в случае: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3"/>
      <w:bookmarkEnd w:id="2"/>
      <w:r>
        <w:rPr>
          <w:rFonts w:ascii="Calibri" w:hAnsi="Calibri" w:cs="Calibri"/>
        </w:rPr>
        <w:t xml:space="preserve">1) смерти пенсионера либо в случае объявления его в установленном </w:t>
      </w:r>
      <w:hyperlink r:id="rId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порядке умершим или признания его безвестно отсутствующим - с 1-го числа месяца, следующего за месяцем,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соответствующем решении суда указана дата объявления гражданина умершим или признания его безвестно отсутствующим, срок прекращения выплаты пенсии определяется исходя из указанной даты;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4"/>
      <w:bookmarkEnd w:id="3"/>
      <w:r>
        <w:rPr>
          <w:rFonts w:ascii="Calibri" w:hAnsi="Calibri" w:cs="Calibri"/>
        </w:rPr>
        <w:t xml:space="preserve">2) истечения шести месяцев со дня приостановления выплаты страховой пенсии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7 части 1 статьи 24</w:t>
        </w:r>
      </w:hyperlink>
      <w:r>
        <w:rPr>
          <w:rFonts w:ascii="Calibri" w:hAnsi="Calibri" w:cs="Calibri"/>
        </w:rPr>
        <w:t xml:space="preserve"> настоящего Федерального закона - с 1-го числа месяца, следующего за месяцем, в котором истек указанный срок;</w:t>
      </w:r>
    </w:p>
    <w:p w:rsidR="00523A8A" w:rsidRDefault="00523A8A" w:rsidP="00523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12.11.2018 N 409-ФЗ)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утраты пенсионером права на назначенную ему страховую пенсию (обнаружения обстоятельств или документов, опровергающих достоверность сведений, представленных в подтверждение права на указанную пенсию, истечения срока признания лица инвалидом, приобретения трудоспособности лицом, получающим пенсию по случаю потери кормильца, поступления на работу (возобновления иной деятельности, подлежащей включению в страховой стаж) лиц, предусмотренных </w:t>
      </w:r>
      <w:hyperlink r:id="rId13" w:history="1">
        <w:r>
          <w:rPr>
            <w:rFonts w:ascii="Calibri" w:hAnsi="Calibri" w:cs="Calibri"/>
            <w:color w:val="0000FF"/>
          </w:rPr>
          <w:t>пунктом 2 части 2 статьи 10</w:t>
        </w:r>
      </w:hyperlink>
      <w:r>
        <w:rPr>
          <w:rFonts w:ascii="Calibri" w:hAnsi="Calibri" w:cs="Calibri"/>
        </w:rPr>
        <w:t xml:space="preserve"> настоящего Федерального закона, и</w:t>
      </w:r>
      <w:proofErr w:type="gramEnd"/>
      <w:r>
        <w:rPr>
          <w:rFonts w:ascii="Calibri" w:hAnsi="Calibri" w:cs="Calibri"/>
        </w:rPr>
        <w:t xml:space="preserve"> в других случаях, предусмотренных законодательством Российской Федерации) - с 1-го числа месяца, следующего за месяцем, в котором обнаружены указанные обстоятельства или документы, либо истек срок инвалидности, либо наступила трудоспособность соответствующего лица;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7"/>
      <w:bookmarkEnd w:id="4"/>
      <w:r>
        <w:rPr>
          <w:rFonts w:ascii="Calibri" w:hAnsi="Calibri" w:cs="Calibri"/>
        </w:rPr>
        <w:t xml:space="preserve">4) непредставления пенсионером - иностранным гражданином или лицом без гражданства вида на жительство - с 1-го числа месяца, следующего за месяцем, в котором истек шестимесячный срок, предусмотренный </w:t>
      </w:r>
      <w:hyperlink r:id="rId14" w:history="1">
        <w:r>
          <w:rPr>
            <w:rFonts w:ascii="Calibri" w:hAnsi="Calibri" w:cs="Calibri"/>
            <w:color w:val="0000FF"/>
          </w:rPr>
          <w:t>пунктом 4 части 1 статьи 24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523A8A" w:rsidRDefault="00523A8A" w:rsidP="00523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23.05.2016 N 143-ФЗ)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9"/>
      <w:bookmarkEnd w:id="5"/>
      <w:r>
        <w:rPr>
          <w:rFonts w:ascii="Calibri" w:hAnsi="Calibri" w:cs="Calibri"/>
        </w:rPr>
        <w:t xml:space="preserve">5) отказа пенсионера от получения назначенной страховой пенсии - с 1-го числа месяца, следующего за месяцем, в котором органом, осуществляющим пенсионное обеспечение, получено соответствующее </w:t>
      </w:r>
      <w:hyperlink r:id="rId16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пенсионера.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Выплата страховой пенсии по инвалидности наряду со случаями, предусмотренными </w:t>
      </w:r>
      <w:hyperlink w:anchor="Par2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прекращается: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с 1-го числа месяца, следующего за месяцем, в котором пенсионер достиг возраста для назначения страховой пенсии по старости в соответствии с </w:t>
      </w:r>
      <w:hyperlink r:id="rId17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или </w:t>
      </w:r>
      <w:hyperlink r:id="rId18" w:history="1">
        <w:r>
          <w:rPr>
            <w:rFonts w:ascii="Calibri" w:hAnsi="Calibri" w:cs="Calibri"/>
            <w:color w:val="0000FF"/>
          </w:rPr>
          <w:t>1.1 статьи 8</w:t>
        </w:r>
      </w:hyperlink>
      <w:r>
        <w:rPr>
          <w:rFonts w:ascii="Calibri" w:hAnsi="Calibri" w:cs="Calibri"/>
        </w:rPr>
        <w:t xml:space="preserve"> настоящего Федерального закона, при наличии 15 лет страхового стажа и величины индивидуального пенсионного коэффициента не менее 30. При этом сумма страховой пенсии за период со дня достижения пенсионером указанного возраста учитывается при выплате назначенной страховой пенсии по старости;</w:t>
      </w:r>
    </w:p>
    <w:p w:rsidR="00523A8A" w:rsidRDefault="00523A8A" w:rsidP="00523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23.05.2016 N 143-ФЗ)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2) с 1-го числа месяца, следующего за месяцем, в котором пенсионер достиг возраста для назначения социальной пенсии по старости, предусмотренного </w:t>
      </w:r>
      <w:hyperlink r:id="rId20" w:history="1">
        <w:r>
          <w:rPr>
            <w:rFonts w:ascii="Calibri" w:hAnsi="Calibri" w:cs="Calibri"/>
            <w:color w:val="0000FF"/>
          </w:rPr>
          <w:t>подпунктом 5 пункта 1 статьи 11</w:t>
        </w:r>
      </w:hyperlink>
      <w:r>
        <w:rPr>
          <w:rFonts w:ascii="Calibri" w:hAnsi="Calibri" w:cs="Calibri"/>
        </w:rPr>
        <w:t xml:space="preserve"> Федерального закона от 15 декабря 2001 года N 166-ФЗ "О государственном пенсионном обеспечении в Российской Федерации";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со дня, с которого установлена страховая пенсия по старости, назначаемая ранее достижения возраста, предусмотренного </w:t>
      </w:r>
      <w:hyperlink r:id="rId21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6" w:name="Par15"/>
      <w:bookmarkEnd w:id="6"/>
      <w:r>
        <w:rPr>
          <w:rFonts w:ascii="Calibri" w:hAnsi="Calibri" w:cs="Calibri"/>
        </w:rPr>
        <w:t>3. Восстановление выплаты страховой пенсии производится: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случае отмены решения суда об объявлении пенсионера умершим или о признании пенсионера безвестно отсутствующим - с 1-го числа месяца, следующего за месяцем, в котором вступило в законную силу решение суда;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по желанию пенсионера в случае наступления новых обстоятельств или надлежащего подтверждения прежних обстоятельств, дающих право на установление страховой пенсии, если со дня прекращения выплаты указанной пенсии прошло не более 10 лет, - с 1-го числа месяца, следующего за месяцем, в котором органом, осуществляющим пенсионное обеспечение, получены заявление о восстановлении выплаты этой пенсии и все необходимые документы, обязанность по представлению которых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возложена</w:t>
      </w:r>
      <w:proofErr w:type="gramEnd"/>
      <w:r>
        <w:rPr>
          <w:rFonts w:ascii="Calibri" w:hAnsi="Calibri" w:cs="Calibri"/>
        </w:rPr>
        <w:t xml:space="preserve"> на заявителя;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при подаче пенсионером </w:t>
      </w:r>
      <w:hyperlink r:id="rId22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восстановлении выплаты страховой пенсии после отказа от ее получения на основании </w:t>
      </w:r>
      <w:hyperlink w:anchor="Par9" w:history="1">
        <w:r>
          <w:rPr>
            <w:rFonts w:ascii="Calibri" w:hAnsi="Calibri" w:cs="Calibri"/>
            <w:color w:val="0000FF"/>
          </w:rPr>
          <w:t>пункта 5 части 1</w:t>
        </w:r>
      </w:hyperlink>
      <w:r>
        <w:rPr>
          <w:rFonts w:ascii="Calibri" w:hAnsi="Calibri" w:cs="Calibri"/>
        </w:rPr>
        <w:t xml:space="preserve"> настоящей статьи - с 1-го числа месяца, следующего за месяцем, в котором органом, осуществляющим пенсионное обеспечение, получено соответствующее заявление пенсионера.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восстановлении выплаты страховой пенсии право на страховую пенсию не пересматривается. При этом размер указанной пенсии определяется заново в порядке, предусмотренном настоящим Федеральным законом.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 восстановлении выплаты страховой пенсии ее размер не достигает размера страховой пенсии, установленного на день прекращения выплаты указанной страховой пенсии, пенсионеру восстанавливается страховая пенсия в прежнем, более высоком размере.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 желанию пенсионера страховая пенсия может быть назначена вновь.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При восстановлении выплаты страховой пенсии по старости, выплата которой была прекращена в связи с отказом от ее получения, или при назначении указанной пенсии вновь учитывается сумма индивидуальных пенсионных коэффициентов и коэффициентов за иные засчитываемые в страховой стаж периоды, имевшие место до назначения страховой пенсии впервые, за периоды после назначения страховой пенсии впервые, за которые выплата указанной пенсии или иной пенсии</w:t>
      </w:r>
      <w:proofErr w:type="gramEnd"/>
      <w:r>
        <w:rPr>
          <w:rFonts w:ascii="Calibri" w:hAnsi="Calibri" w:cs="Calibri"/>
        </w:rPr>
        <w:t xml:space="preserve"> либо ежемесячного пожизненного содержания, предусмотренных законодательством Российской Федерации (за исключением граждан, имеющих право на одновременное получение различных пенсий в соответствии с законодательством Российской Федерации), не осуществлялась, но не ранее чем с 1 января 2015 года.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При обращении лица, выплата страховой пенсии которому была прекращена в соответствии с </w:t>
      </w:r>
      <w:hyperlink w:anchor="Par4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или </w:t>
      </w:r>
      <w:hyperlink w:anchor="Par7" w:history="1">
        <w:r>
          <w:rPr>
            <w:rFonts w:ascii="Calibri" w:hAnsi="Calibri" w:cs="Calibri"/>
            <w:color w:val="0000FF"/>
          </w:rPr>
          <w:t>4 части 1</w:t>
        </w:r>
      </w:hyperlink>
      <w:r>
        <w:rPr>
          <w:rFonts w:ascii="Calibri" w:hAnsi="Calibri" w:cs="Calibri"/>
        </w:rPr>
        <w:t xml:space="preserve"> настоящей статьи, при наличии у него права на указанную пенсию в период после прекращения выплаты этой пенсии до обращения решение о прекращении выплаты страховой пенсии отменяется, а суммы страховой пенсии, определенные в порядке, установленном </w:t>
      </w:r>
      <w:hyperlink r:id="rId23" w:history="1">
        <w:r>
          <w:rPr>
            <w:rFonts w:ascii="Calibri" w:hAnsi="Calibri" w:cs="Calibri"/>
            <w:color w:val="0000FF"/>
          </w:rPr>
          <w:t>частью 3 статьи 24</w:t>
        </w:r>
      </w:hyperlink>
      <w:r>
        <w:rPr>
          <w:rFonts w:ascii="Calibri" w:hAnsi="Calibri" w:cs="Calibri"/>
        </w:rPr>
        <w:t xml:space="preserve"> настоящего Федерального закона, выплачиваются</w:t>
      </w:r>
      <w:proofErr w:type="gramEnd"/>
      <w:r>
        <w:rPr>
          <w:rFonts w:ascii="Calibri" w:hAnsi="Calibri" w:cs="Calibri"/>
        </w:rPr>
        <w:t xml:space="preserve"> за прошедшее время, но не более чем за три года, предшествующие месяцу, следующему за месяцем обращения.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после прекращения выплаты страховой пенсии в соответствии с </w:t>
      </w:r>
      <w:hyperlink w:anchor="Par3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(в связи с отменой решения суда об объявлении пенсионера умершим или о признании пенсионера безвестно отсутствующим), </w:t>
      </w:r>
      <w:hyperlink w:anchor="Par4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w:anchor="Par7" w:history="1">
        <w:r>
          <w:rPr>
            <w:rFonts w:ascii="Calibri" w:hAnsi="Calibri" w:cs="Calibri"/>
            <w:color w:val="0000FF"/>
          </w:rPr>
          <w:t>4 части 1</w:t>
        </w:r>
      </w:hyperlink>
      <w:r>
        <w:rPr>
          <w:rFonts w:ascii="Calibri" w:hAnsi="Calibri" w:cs="Calibri"/>
        </w:rPr>
        <w:t xml:space="preserve"> настоящей статьи право на выплату </w:t>
      </w:r>
      <w:r>
        <w:rPr>
          <w:rFonts w:ascii="Calibri" w:hAnsi="Calibri" w:cs="Calibri"/>
        </w:rPr>
        <w:lastRenderedPageBreak/>
        <w:t xml:space="preserve">указанной пенсии было утрачено, выплата страховой пенсии подлежит восстановлению в соответствии с </w:t>
      </w:r>
      <w:hyperlink w:anchor="Par15" w:history="1">
        <w:r>
          <w:rPr>
            <w:rFonts w:ascii="Calibri" w:hAnsi="Calibri" w:cs="Calibri"/>
            <w:color w:val="0000FF"/>
          </w:rPr>
          <w:t>частью 3</w:t>
        </w:r>
      </w:hyperlink>
      <w:r>
        <w:rPr>
          <w:rFonts w:ascii="Calibri" w:hAnsi="Calibri" w:cs="Calibri"/>
        </w:rPr>
        <w:t xml:space="preserve"> настоящей статьи либо по желанию пенсионера страховая пенсия может быть назначена вновь в соответствии с настоящей частью.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hyperlink r:id="rId24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пенсионера о восстановлении выплаты страховой пенсии принимается при условии одновременного представления им необходимых для этого документов, обязанность по представлению которых возложена на заявителя. Орган, осуществляющий пенсионное обеспечение, при приеме заявления о восстановлении выплаты страховой пенсии дает обратившемуся лицу разъяснение, какие документы, находящиеся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он вправе представить по собственной инициативе.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Заявление пенсионера о восстановлении выплаты страховой пенсии рассматривается не позднее чем через пять рабочих дней со дня приема указанного заявления со всеми необходимыми документами, подлежащими представлению заявителем с учетом положений </w:t>
      </w:r>
      <w:hyperlink r:id="rId25" w:history="1">
        <w:r>
          <w:rPr>
            <w:rFonts w:ascii="Calibri" w:hAnsi="Calibri" w:cs="Calibri"/>
            <w:color w:val="0000FF"/>
          </w:rPr>
          <w:t>части 7 статьи 21</w:t>
        </w:r>
      </w:hyperlink>
      <w:r>
        <w:rPr>
          <w:rFonts w:ascii="Calibri" w:hAnsi="Calibri" w:cs="Calibri"/>
        </w:rPr>
        <w:t xml:space="preserve"> настоящего Федерального закона, которые он вправе представить по собственной инициативе, либо со дня поступления документов, запрошенных органом, осуществляющим пенсионное обеспечение, в иных государственных органах, органах местного</w:t>
      </w:r>
      <w:proofErr w:type="gramEnd"/>
      <w:r>
        <w:rPr>
          <w:rFonts w:ascii="Calibri" w:hAnsi="Calibri" w:cs="Calibri"/>
        </w:rPr>
        <w:t xml:space="preserve"> самоуправления либо подведомственных государственным органам или органам местного самоуправления </w:t>
      </w:r>
      <w:proofErr w:type="gramStart"/>
      <w:r>
        <w:rPr>
          <w:rFonts w:ascii="Calibri" w:hAnsi="Calibri" w:cs="Calibri"/>
        </w:rPr>
        <w:t>организациях</w:t>
      </w:r>
      <w:proofErr w:type="gramEnd"/>
      <w:r>
        <w:rPr>
          <w:rFonts w:ascii="Calibri" w:hAnsi="Calibri" w:cs="Calibri"/>
        </w:rPr>
        <w:t>.</w:t>
      </w:r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В случае проведения проверки достоверности документов, необходимых для восстановления выплаты страховой пенсии, непредставления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орган, осуществляющий пенсионное обеспечение, вправе приостановить срок рассмотрения заявления до завершения проверки, представления документов, запрошенных в указанных органах и организациях, но не более чем на три месяца.</w:t>
      </w:r>
      <w:proofErr w:type="gramEnd"/>
    </w:p>
    <w:p w:rsidR="00523A8A" w:rsidRDefault="00523A8A" w:rsidP="00523A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В случае отказа в удовлетворении </w:t>
      </w:r>
      <w:hyperlink r:id="rId26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пенсионера о восстановлении выплаты страховой пенсии орган, осуществляющий пенсионное обеспечение,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документы.</w:t>
      </w:r>
    </w:p>
    <w:p w:rsidR="005415FB" w:rsidRPr="005415FB" w:rsidRDefault="005415FB" w:rsidP="005415FB"/>
    <w:sectPr w:rsidR="005415FB" w:rsidRPr="005415FB" w:rsidSect="00993EF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1B3C69"/>
    <w:rsid w:val="0022314E"/>
    <w:rsid w:val="00470979"/>
    <w:rsid w:val="00523A8A"/>
    <w:rsid w:val="005415FB"/>
    <w:rsid w:val="00690B20"/>
    <w:rsid w:val="00743F7F"/>
    <w:rsid w:val="008F06E6"/>
    <w:rsid w:val="009B0AC8"/>
    <w:rsid w:val="009D4A43"/>
    <w:rsid w:val="00A66E15"/>
    <w:rsid w:val="00D41BF3"/>
    <w:rsid w:val="00E42891"/>
    <w:rsid w:val="00F11965"/>
    <w:rsid w:val="00F379E9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8ED19621CD8A29CE82D5A887F2A86C7FE619F00220B7DC7A767739F9D197F896AD981886E2ABBCF18AD1906765B1A355751BD2446AAAF78QAM" TargetMode="External"/><Relationship Id="rId13" Type="http://schemas.openxmlformats.org/officeDocument/2006/relationships/hyperlink" Target="consultantplus://offline/ref=FCB8ED19621CD8A29CE82D5A887F2A86C7FE619F00220B7DC7A767739F9D197F896AD981886E29BAC418AD1906765B1A355751BD2446AAAF78QAM" TargetMode="External"/><Relationship Id="rId18" Type="http://schemas.openxmlformats.org/officeDocument/2006/relationships/hyperlink" Target="consultantplus://offline/ref=FCB8ED19621CD8A29CE82D5A887F2A86C7FE619F00220B7DC7A767739F9D197F896AD983833A78FB981EFB4A5C2256063549527BQDM" TargetMode="External"/><Relationship Id="rId26" Type="http://schemas.openxmlformats.org/officeDocument/2006/relationships/hyperlink" Target="consultantplus://offline/ref=FCB8ED19621CD8A29CE82D5A887F2A86C7FE6D99002A0B7DC7A767739F9D197F896AD981886E2FBDC918AD1906765B1A355751BD2446AAAF78Q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CB8ED19621CD8A29CE82D5A887F2A86C7FE619F00220B7DC7A767739F9D197F896AD981886E29BBCA18AD1906765B1A355751BD2446AAAF78QAM" TargetMode="External"/><Relationship Id="rId7" Type="http://schemas.openxmlformats.org/officeDocument/2006/relationships/hyperlink" Target="consultantplus://offline/ref=FCB8ED19621CD8A29CE82D5A887F2A86C7FE619F00220B7DC7A767739F9D197F896AD981886E2ABBCD18AD1906765B1A355751BD2446AAAF78QAM" TargetMode="External"/><Relationship Id="rId12" Type="http://schemas.openxmlformats.org/officeDocument/2006/relationships/hyperlink" Target="consultantplus://offline/ref=FCB8ED19621CD8A29CE82D5A887F2A86C7FC659206210B7DC7A767739F9D197F896AD981886E29BDCB18AD1906765B1A355751BD2446AAAF78QAM" TargetMode="External"/><Relationship Id="rId17" Type="http://schemas.openxmlformats.org/officeDocument/2006/relationships/hyperlink" Target="consultantplus://offline/ref=FCB8ED19621CD8A29CE82D5A887F2A86C7FE619F00220B7DC7A767739F9D197F896AD981886E29BBC518AD1906765B1A355751BD2446AAAF78QAM" TargetMode="External"/><Relationship Id="rId25" Type="http://schemas.openxmlformats.org/officeDocument/2006/relationships/hyperlink" Target="consultantplus://offline/ref=FCB8ED19621CD8A29CE82D5A887F2A86C7FE619F00220B7DC7A767739F9D197F896AD981886E2BB6CC18AD1906765B1A355751BD2446AAAF78Q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B8ED19621CD8A29CE82D5A887F2A86C7FE6D99002A0B7DC7A767739F9D197F896AD981886E20BBCF18AD1906765B1A355751BD2446AAAF78QAM" TargetMode="External"/><Relationship Id="rId20" Type="http://schemas.openxmlformats.org/officeDocument/2006/relationships/hyperlink" Target="consultantplus://offline/ref=FCB8ED19621CD8A29CE82D5A887F2A86C7FE619F05240B7DC7A767739F9D197F896AD98788657DEE8946F44A403D5718294B50BF73QA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B8ED19621CD8A29CE82D5A887F2A86C7F86D92052A0B7DC7A767739F9D197F896AD981886F2ABFCD18AD1906765B1A355751BD2446AAAF78QAM" TargetMode="External"/><Relationship Id="rId11" Type="http://schemas.openxmlformats.org/officeDocument/2006/relationships/hyperlink" Target="consultantplus://offline/ref=FCB8ED19621CD8A29CE82D5A887F2A86C7FE619F00220B7DC7A767739F9D197F896AD981816E22EB9C57AC4540214819375752BD3874Q4M" TargetMode="External"/><Relationship Id="rId24" Type="http://schemas.openxmlformats.org/officeDocument/2006/relationships/hyperlink" Target="consultantplus://offline/ref=FCB8ED19621CD8A29CE82D5A887F2A86C7FE6D99002A0B7DC7A767739F9D197F896AD981886E2FBDC918AD1906765B1A355751BD2446AAAF78Q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B8ED19621CD8A29CE82D5A887F2A86C5F46D9B0F2B0B7DC7A767739F9D197F896AD981886E29B9CE18AD1906765B1A355751BD2446AAAF78QAM" TargetMode="External"/><Relationship Id="rId23" Type="http://schemas.openxmlformats.org/officeDocument/2006/relationships/hyperlink" Target="consultantplus://offline/ref=FCB8ED19621CD8A29CE82D5A887F2A86C7FE619F00220B7DC7A767739F9D197F896AD981886E2ABBCA18AD1906765B1A355751BD2446AAAF78QA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CB8ED19621CD8A29CE82D5A887F2A86C7FE619F00220B7DC7A767739F9D197F896AD981886E2ABBC818AD1906765B1A355751BD2446AAAF78QAM" TargetMode="External"/><Relationship Id="rId19" Type="http://schemas.openxmlformats.org/officeDocument/2006/relationships/hyperlink" Target="consultantplus://offline/ref=FCB8ED19621CD8A29CE82D5A887F2A86C5F46D9B0F2B0B7DC7A767739F9D197F896AD981886E29B9C918AD1906765B1A355751BD2446AAAF78Q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B8ED19621CD8A29CE82D5A887F2A86C7FE619F00220B7DC7A767739F9D197F896AD981886E2ABBC918AD1906765B1A355751BD2446AAAF78QAM" TargetMode="External"/><Relationship Id="rId14" Type="http://schemas.openxmlformats.org/officeDocument/2006/relationships/hyperlink" Target="consultantplus://offline/ref=FCB8ED19621CD8A29CE82D5A887F2A86C7FE619F00220B7DC7A767739F9D197F896AD981886E2ABBCE18AD1906765B1A355751BD2446AAAF78QAM" TargetMode="External"/><Relationship Id="rId22" Type="http://schemas.openxmlformats.org/officeDocument/2006/relationships/hyperlink" Target="consultantplus://offline/ref=FCB8ED19621CD8A29CE82D5A887F2A86C7FE6D99002A0B7DC7A767739F9D197F896AD981886E2FBDC918AD1906765B1A355751BD2446AAAF78QA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2020-10-22T12:18:00Z</dcterms:created>
  <dcterms:modified xsi:type="dcterms:W3CDTF">2020-10-22T12:18:00Z</dcterms:modified>
</cp:coreProperties>
</file>